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50C" w:rsidRDefault="005D63F3" w:rsidP="005D63F3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Modelo de croqui para área física </w:t>
      </w:r>
    </w:p>
    <w:p w:rsidR="005D63F3" w:rsidRPr="005D63F3" w:rsidRDefault="005D63F3" w:rsidP="005D63F3">
      <w:pPr>
        <w:autoSpaceDE w:val="0"/>
        <w:autoSpaceDN w:val="0"/>
        <w:adjustRightInd w:val="0"/>
        <w:spacing w:after="120"/>
        <w:ind w:firstLine="708"/>
        <w:jc w:val="both"/>
        <w:rPr>
          <w:rFonts w:ascii="Arial" w:hAnsi="Arial" w:cs="Arial"/>
          <w:lang w:eastAsia="en-US"/>
        </w:rPr>
      </w:pPr>
      <w:r w:rsidRPr="005D63F3">
        <w:rPr>
          <w:rFonts w:ascii="Arial" w:hAnsi="Arial" w:cs="Arial"/>
          <w:bCs/>
          <w:color w:val="000000"/>
        </w:rPr>
        <w:t xml:space="preserve">Para a elaboração do croqui, solicite à divisão de arquitetura da UFOP a planta baixa atualizada do laboratório e </w:t>
      </w:r>
      <w:r w:rsidRPr="005D63F3">
        <w:rPr>
          <w:rFonts w:ascii="Arial" w:hAnsi="Arial" w:cs="Arial"/>
          <w:lang w:eastAsia="en-US"/>
        </w:rPr>
        <w:t>da área conexa (área vizinha)</w:t>
      </w:r>
      <w:r w:rsidR="00432872">
        <w:rPr>
          <w:rFonts w:ascii="Arial" w:hAnsi="Arial" w:cs="Arial"/>
          <w:lang w:eastAsia="en-US"/>
        </w:rPr>
        <w:t>. Imprima o documento</w:t>
      </w:r>
      <w:r w:rsidRPr="005D63F3">
        <w:rPr>
          <w:rFonts w:ascii="Arial" w:hAnsi="Arial" w:cs="Arial"/>
          <w:lang w:eastAsia="en-US"/>
        </w:rPr>
        <w:t xml:space="preserve"> e indique</w:t>
      </w:r>
      <w:r w:rsidR="00432872">
        <w:rPr>
          <w:rFonts w:ascii="Arial" w:hAnsi="Arial" w:cs="Arial"/>
          <w:lang w:eastAsia="en-US"/>
        </w:rPr>
        <w:t>, com o uso de canetas coloridas e legendas,</w:t>
      </w:r>
      <w:r w:rsidRPr="005D63F3">
        <w:rPr>
          <w:rFonts w:ascii="Arial" w:hAnsi="Arial" w:cs="Arial"/>
          <w:lang w:eastAsia="en-US"/>
        </w:rPr>
        <w:t xml:space="preserve"> a localização precisa e destacada dos equipamentos e barreiras de contenção dos locais</w:t>
      </w:r>
      <w:r w:rsidR="00432872">
        <w:rPr>
          <w:rFonts w:ascii="Arial" w:hAnsi="Arial" w:cs="Arial"/>
          <w:lang w:eastAsia="en-US"/>
        </w:rPr>
        <w:t xml:space="preserve"> onde serão manipulados os </w:t>
      </w:r>
      <w:proofErr w:type="spellStart"/>
      <w:r w:rsidR="00432872">
        <w:rPr>
          <w:rFonts w:ascii="Arial" w:hAnsi="Arial" w:cs="Arial"/>
          <w:lang w:eastAsia="en-US"/>
        </w:rPr>
        <w:t>OGMs</w:t>
      </w:r>
      <w:proofErr w:type="spellEnd"/>
      <w:r w:rsidR="00432872">
        <w:rPr>
          <w:rFonts w:ascii="Arial" w:hAnsi="Arial" w:cs="Arial"/>
          <w:lang w:eastAsia="en-US"/>
        </w:rPr>
        <w:t xml:space="preserve"> </w:t>
      </w:r>
      <w:r w:rsidRPr="005D63F3">
        <w:rPr>
          <w:rFonts w:ascii="Arial" w:hAnsi="Arial" w:cs="Arial"/>
          <w:lang w:eastAsia="en-US"/>
        </w:rPr>
        <w:t xml:space="preserve">(vide modelo nas </w:t>
      </w:r>
      <w:proofErr w:type="spellStart"/>
      <w:r w:rsidRPr="005D63F3">
        <w:rPr>
          <w:rFonts w:ascii="Arial" w:hAnsi="Arial" w:cs="Arial"/>
          <w:lang w:eastAsia="en-US"/>
        </w:rPr>
        <w:t>paginas</w:t>
      </w:r>
      <w:proofErr w:type="spellEnd"/>
      <w:r w:rsidRPr="005D63F3">
        <w:rPr>
          <w:rFonts w:ascii="Arial" w:hAnsi="Arial" w:cs="Arial"/>
          <w:lang w:eastAsia="en-US"/>
        </w:rPr>
        <w:t xml:space="preserve"> finais deste documento).</w:t>
      </w:r>
    </w:p>
    <w:p w:rsidR="005D63F3" w:rsidRPr="00060C29" w:rsidRDefault="00432872" w:rsidP="00060C29">
      <w:pPr>
        <w:autoSpaceDE w:val="0"/>
        <w:autoSpaceDN w:val="0"/>
        <w:adjustRightInd w:val="0"/>
        <w:spacing w:after="120"/>
        <w:ind w:firstLine="708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Cabe ressaltar que, p</w:t>
      </w:r>
      <w:r w:rsidR="00060C29">
        <w:rPr>
          <w:rFonts w:ascii="Arial" w:hAnsi="Arial" w:cs="Arial"/>
          <w:lang w:eastAsia="en-US"/>
        </w:rPr>
        <w:t xml:space="preserve">ara a concessão </w:t>
      </w:r>
      <w:r w:rsidR="005D63F3" w:rsidRPr="005D63F3">
        <w:rPr>
          <w:rFonts w:ascii="Arial" w:hAnsi="Arial" w:cs="Arial"/>
          <w:lang w:eastAsia="en-US"/>
        </w:rPr>
        <w:t xml:space="preserve">de autorização para manipulação de </w:t>
      </w:r>
      <w:proofErr w:type="spellStart"/>
      <w:r w:rsidR="005D63F3" w:rsidRPr="005D63F3">
        <w:rPr>
          <w:rFonts w:ascii="Arial" w:hAnsi="Arial" w:cs="Arial"/>
          <w:lang w:eastAsia="en-US"/>
        </w:rPr>
        <w:t>OGMs</w:t>
      </w:r>
      <w:proofErr w:type="spellEnd"/>
      <w:r w:rsidR="005D63F3" w:rsidRPr="005D63F3">
        <w:rPr>
          <w:rFonts w:ascii="Arial" w:hAnsi="Arial" w:cs="Arial"/>
          <w:lang w:eastAsia="en-US"/>
        </w:rPr>
        <w:t xml:space="preserve"> em regime de contenção</w:t>
      </w:r>
      <w:r w:rsidR="00060C29">
        <w:rPr>
          <w:rFonts w:ascii="Arial" w:hAnsi="Arial" w:cs="Arial"/>
          <w:lang w:eastAsia="en-US"/>
        </w:rPr>
        <w:t xml:space="preserve"> (emitida pela </w:t>
      </w:r>
      <w:proofErr w:type="spellStart"/>
      <w:r w:rsidR="00060C29">
        <w:rPr>
          <w:rFonts w:ascii="Arial" w:hAnsi="Arial" w:cs="Arial"/>
          <w:lang w:eastAsia="en-US"/>
        </w:rPr>
        <w:t>CIBio</w:t>
      </w:r>
      <w:proofErr w:type="spellEnd"/>
      <w:r w:rsidR="00060C29">
        <w:rPr>
          <w:rFonts w:ascii="Arial" w:hAnsi="Arial" w:cs="Arial"/>
          <w:lang w:eastAsia="en-US"/>
        </w:rPr>
        <w:t xml:space="preserve"> para </w:t>
      </w:r>
      <w:proofErr w:type="spellStart"/>
      <w:r w:rsidR="00060C29">
        <w:rPr>
          <w:rFonts w:ascii="Arial" w:hAnsi="Arial" w:cs="Arial"/>
          <w:lang w:eastAsia="en-US"/>
        </w:rPr>
        <w:t>OGMs</w:t>
      </w:r>
      <w:proofErr w:type="spellEnd"/>
      <w:r w:rsidR="00060C29">
        <w:rPr>
          <w:rFonts w:ascii="Arial" w:hAnsi="Arial" w:cs="Arial"/>
          <w:lang w:eastAsia="en-US"/>
        </w:rPr>
        <w:t xml:space="preserve"> de classe I e pela CTNBio para </w:t>
      </w:r>
      <w:proofErr w:type="spellStart"/>
      <w:r w:rsidR="00060C29">
        <w:rPr>
          <w:rFonts w:ascii="Arial" w:hAnsi="Arial" w:cs="Arial"/>
          <w:lang w:eastAsia="en-US"/>
        </w:rPr>
        <w:t>OGMs</w:t>
      </w:r>
      <w:proofErr w:type="spellEnd"/>
      <w:r w:rsidR="00060C29">
        <w:rPr>
          <w:rFonts w:ascii="Arial" w:hAnsi="Arial" w:cs="Arial"/>
          <w:lang w:eastAsia="en-US"/>
        </w:rPr>
        <w:t xml:space="preserve"> de classe II) </w:t>
      </w:r>
      <w:r w:rsidR="005D63F3" w:rsidRPr="005D63F3">
        <w:rPr>
          <w:rFonts w:ascii="Arial" w:hAnsi="Arial" w:cs="Arial"/>
          <w:lang w:eastAsia="en-US"/>
        </w:rPr>
        <w:t xml:space="preserve">a unidade operativa (laboratório, biotério, </w:t>
      </w:r>
      <w:proofErr w:type="spellStart"/>
      <w:r w:rsidR="005D63F3" w:rsidRPr="005D63F3">
        <w:rPr>
          <w:rFonts w:ascii="Arial" w:hAnsi="Arial" w:cs="Arial"/>
          <w:lang w:eastAsia="en-US"/>
        </w:rPr>
        <w:t>etc</w:t>
      </w:r>
      <w:proofErr w:type="spellEnd"/>
      <w:r w:rsidR="005D63F3" w:rsidRPr="005D63F3">
        <w:rPr>
          <w:rFonts w:ascii="Arial" w:hAnsi="Arial" w:cs="Arial"/>
          <w:lang w:eastAsia="en-US"/>
        </w:rPr>
        <w:t xml:space="preserve">) deve possuir </w:t>
      </w:r>
      <w:r w:rsidR="005D63F3" w:rsidRPr="005D63F3">
        <w:rPr>
          <w:rFonts w:ascii="Arial" w:hAnsi="Arial" w:cs="Arial"/>
          <w:bCs/>
          <w:iCs/>
          <w:spacing w:val="-2"/>
          <w:kern w:val="1"/>
          <w:lang w:eastAsia="en-US"/>
        </w:rPr>
        <w:t xml:space="preserve">características </w:t>
      </w:r>
      <w:r w:rsidR="00060C29">
        <w:rPr>
          <w:rFonts w:ascii="Arial" w:hAnsi="Arial" w:cs="Arial"/>
          <w:bCs/>
          <w:iCs/>
          <w:spacing w:val="-2"/>
          <w:kern w:val="1"/>
          <w:lang w:eastAsia="en-US"/>
        </w:rPr>
        <w:t xml:space="preserve">e procedimentos </w:t>
      </w:r>
      <w:r w:rsidR="005D63F3" w:rsidRPr="005D63F3">
        <w:rPr>
          <w:rFonts w:ascii="Arial" w:hAnsi="Arial" w:cs="Arial"/>
          <w:bCs/>
          <w:iCs/>
          <w:spacing w:val="-2"/>
          <w:kern w:val="1"/>
          <w:lang w:eastAsia="en-US"/>
        </w:rPr>
        <w:t>especiais relacionadas à biossegurança que atendam às normas específicas da CTNBio descritas no Capítulo V da RN n.2 de 27 de novembro de 2006, de acordo com o nível de biossegurança</w:t>
      </w:r>
      <w:r w:rsidR="00060C29">
        <w:rPr>
          <w:rFonts w:ascii="Arial" w:hAnsi="Arial" w:cs="Arial"/>
          <w:bCs/>
          <w:iCs/>
          <w:spacing w:val="-2"/>
          <w:kern w:val="1"/>
          <w:lang w:eastAsia="en-US"/>
        </w:rPr>
        <w:t>. Vide abaixo</w:t>
      </w:r>
      <w:r w:rsidR="005D63F3" w:rsidRPr="005D63F3">
        <w:rPr>
          <w:rFonts w:ascii="Arial" w:hAnsi="Arial" w:cs="Arial"/>
          <w:bCs/>
          <w:iCs/>
          <w:spacing w:val="-2"/>
          <w:kern w:val="1"/>
          <w:lang w:eastAsia="en-US"/>
        </w:rPr>
        <w:t>:</w:t>
      </w:r>
    </w:p>
    <w:p w:rsidR="00060C29" w:rsidRDefault="00060C29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proofErr w:type="spellStart"/>
      <w:r>
        <w:rPr>
          <w:rFonts w:ascii="OpenSans" w:hAnsi="OpenSans" w:cs="OpenSans"/>
          <w:color w:val="262626"/>
          <w:lang w:val="en-US" w:eastAsia="en-US"/>
        </w:rPr>
        <w:t>Resolução</w:t>
      </w:r>
      <w:proofErr w:type="spellEnd"/>
      <w:r>
        <w:rPr>
          <w:rFonts w:ascii="OpenSans" w:hAnsi="OpenSans" w:cs="OpenSans"/>
          <w:color w:val="262626"/>
          <w:lang w:val="en-US" w:eastAsia="en-US"/>
        </w:rPr>
        <w:t xml:space="preserve"> </w:t>
      </w:r>
      <w:proofErr w:type="spellStart"/>
      <w:proofErr w:type="gramStart"/>
      <w:r>
        <w:rPr>
          <w:rFonts w:ascii="OpenSans" w:hAnsi="OpenSans" w:cs="OpenSans"/>
          <w:color w:val="262626"/>
          <w:lang w:val="en-US" w:eastAsia="en-US"/>
        </w:rPr>
        <w:t>Normativa</w:t>
      </w:r>
      <w:proofErr w:type="spellEnd"/>
      <w:r>
        <w:rPr>
          <w:rFonts w:ascii="OpenSans" w:hAnsi="OpenSans" w:cs="OpenSans"/>
          <w:color w:val="262626"/>
          <w:lang w:val="en-US" w:eastAsia="en-US"/>
        </w:rPr>
        <w:t>  Nº</w:t>
      </w:r>
      <w:proofErr w:type="gramEnd"/>
      <w:r>
        <w:rPr>
          <w:rFonts w:ascii="OpenSans" w:hAnsi="OpenSans" w:cs="OpenSans"/>
          <w:color w:val="262626"/>
          <w:lang w:val="en-US" w:eastAsia="en-US"/>
        </w:rPr>
        <w:t xml:space="preserve"> 2, de 27 de </w:t>
      </w:r>
      <w:proofErr w:type="spellStart"/>
      <w:r>
        <w:rPr>
          <w:rFonts w:ascii="OpenSans" w:hAnsi="OpenSans" w:cs="OpenSans"/>
          <w:color w:val="262626"/>
          <w:lang w:val="en-US" w:eastAsia="en-US"/>
        </w:rPr>
        <w:t>novembro</w:t>
      </w:r>
      <w:proofErr w:type="spellEnd"/>
      <w:r>
        <w:rPr>
          <w:rFonts w:ascii="OpenSans" w:hAnsi="OpenSans" w:cs="OpenSans"/>
          <w:color w:val="262626"/>
          <w:lang w:val="en-US" w:eastAsia="en-US"/>
        </w:rPr>
        <w:t xml:space="preserve"> de 2006</w:t>
      </w:r>
      <w:r w:rsidR="00432872">
        <w:rPr>
          <w:rFonts w:ascii="OpenSans" w:hAnsi="OpenSans" w:cs="OpenSans"/>
          <w:color w:val="262626"/>
          <w:lang w:val="pt-PT" w:eastAsia="en-US"/>
        </w:rPr>
        <w:t>.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CAPÍTULO V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DOS NÍVEIS DE BIOSSEGURANÇA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Art. 9º O nível de biossegurança de atividades e projetos será determinado segundo o OGM de maior classe de risco envolvido.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Parágrafo único. As atividades e projetos envolvendo OGM e seus derivados deverão ser precedidos de uma análise detalhada e criterio</w:t>
      </w:r>
      <w:bookmarkStart w:id="0" w:name="_GoBack"/>
      <w:bookmarkEnd w:id="0"/>
      <w:r w:rsidRPr="005D63F3">
        <w:rPr>
          <w:rFonts w:ascii="OpenSans" w:hAnsi="OpenSans" w:cs="OpenSans"/>
          <w:color w:val="262626"/>
          <w:lang w:val="pt-PT" w:eastAsia="en-US"/>
        </w:rPr>
        <w:t>sa de todas as condições experimentais, devendo-se utilizar o nível de biossegurança adequado à classe de risco do OGM manipulado.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Art. 10 São quatro os Níveis de Biossegurança: NB-1, NB-2, NB-3 e NB-4, crescentes no maior grau de contenção e complexidade do nível de proteção, de acordo com a classe de risco do OGM.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060C29">
        <w:rPr>
          <w:rFonts w:ascii="OpenSans" w:hAnsi="OpenSans" w:cs="OpenSans"/>
          <w:b/>
          <w:color w:val="262626"/>
          <w:lang w:val="pt-PT" w:eastAsia="en-US"/>
        </w:rPr>
        <w:t>I – Nível de Biossegurança 1 (NB-1):</w:t>
      </w:r>
      <w:r w:rsidRPr="005D63F3">
        <w:rPr>
          <w:rFonts w:ascii="OpenSans" w:hAnsi="OpenSans" w:cs="OpenSans"/>
          <w:color w:val="262626"/>
          <w:lang w:val="pt-PT" w:eastAsia="en-US"/>
        </w:rPr>
        <w:t xml:space="preserve"> adequado às atividades e projetos que envolvam OGM da classe de risco 1, realizadas nas seguintes condições: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a) não é necessário que as instalações estejam isoladas das demais dependências físicas da instituição, sendo as atividades e projetos conduzidos geralmente em bancada, biotério ou casa de vegetação;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b) a equipe técnica e de apoio deverá ter treinamento específico nos procedimentos realizados nas instalações e deverá ser supervisionada pelo técnico principal;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c) as instalações NB-1 devem ser desenhadas de modo a permitir fácil limpeza e descontaminação;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d) a superfície das bancadas deve ser impermeável à água e resistente a ácidos, álcalis, solventes orgânicos e a calor moderado;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e) os espaços entre as bancadas, cabines e equipamentos devem ser suficientes de modo a permitir fácil limpeza;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f) OGMs serão manipulados em áreas sinalizadas com o símbolo universal de risco biológico, com acesso restrito à equipe técnica e de apoio ou de pessoas autorizadas;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 xml:space="preserve">g) as superfícies de trabalho devem ser descontaminadas uma vez ao dia ou sempre que </w:t>
      </w:r>
      <w:r w:rsidRPr="005D63F3">
        <w:rPr>
          <w:rFonts w:ascii="OpenSans" w:hAnsi="OpenSans" w:cs="OpenSans"/>
          <w:color w:val="262626"/>
          <w:lang w:val="pt-PT" w:eastAsia="en-US"/>
        </w:rPr>
        <w:lastRenderedPageBreak/>
        <w:t>ocorrer contaminação;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h) todo resíduo líquido ou sólido contaminado deve ser descontaminado antes de ser descartado, assim como todo material ou equipamento que tiver entrado em contato com o OGM;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i) deve-se utilizar dispositivo mecânico para pipetagem;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j) alimentos devem ser guardados em áreas específicas para este fim, fora das instalações, sendo proibido comer, beber, fumar e aplicar cosméticos nas áreas de trabalho;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k) antes de deixar as instalações, as mãos devem ser lavadas sempre que tiver havido manipulação de organismos contendo ADN/ARN recombinante;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l) pias para lavagem das mãos e equipamentos de proteção individual e coletiva devem ser utilizados para minimizar o risco de exposição ao OGM;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m) é proibida a admissão de animais que não estejam relacionados ao trabalho em execução nas instalações;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n) extrema precaução deve ser tomada quando forem manuseadas agulhas, seringas e vidros quebrados, de modo a evitar a auto-inoculação e a produção de aerossóis durante o uso e o descarte. As agulhas não devem ser entortadas, quebradas, recapeadas ou removidas da seringa após o uso. Agulhas, seringas e vidros quebrados devem ser imediatamente colocados em recipiente resistente a perfurações e autoclavados antes do descarte;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o) materiais contaminados só podem ser retirados das instalações em recipientes rígidos e à prova de vazamentos;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p) deve ser providenciado um programa rotineiro adequado de controle de insetos e roedores. Todas as áreas que permitam ventilação deverão conter barreiras físicas para impedir a passagem de insetos e outros animais;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q) um Manual de Biossegurança deve ser preparado de acordo com as especificidades das atividades realizadas. Todo o pessoal deve ser orientado sobre os possíveis riscos e para a necessidade de seguir as especificações de cada rotina de trabalho, procedimentos de biossegurança e práticas estabelecidas no Manual;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r) devem ser mantidos registros de cada atividade ou projeto desenvolvidos com OGM e seus derivados;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s) atividades e projetos com organismos não geneticamente modificados que ocorram concomitantemente e nas mesmas instalações com manipulação de OGM devem respeitar a classificação de risco do OGM;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t) todo material proveniente de OGM e seus derivados deverá ser descartado de forma a impossibilitar seu uso como alimento por animais ou pelo homem, salvo o caso em que este seja o propósito do experimento, ou se especificamente autorizado pela CIBio ou CTNBio;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060C29">
        <w:rPr>
          <w:rFonts w:ascii="OpenSans" w:hAnsi="OpenSans" w:cs="OpenSans"/>
          <w:b/>
          <w:color w:val="262626"/>
          <w:lang w:val="pt-PT" w:eastAsia="en-US"/>
        </w:rPr>
        <w:t>I – Nível de Biossegurança 2 (NB-2):</w:t>
      </w:r>
      <w:r w:rsidRPr="005D63F3">
        <w:rPr>
          <w:rFonts w:ascii="OpenSans" w:hAnsi="OpenSans" w:cs="OpenSans"/>
          <w:color w:val="262626"/>
          <w:lang w:val="pt-PT" w:eastAsia="en-US"/>
        </w:rPr>
        <w:t xml:space="preserve"> adequado às atividades e projetos que envolvam OGM de classe de risco 2, realizadas nas seguintes condições:</w:t>
      </w:r>
    </w:p>
    <w:p w:rsidR="00060C29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 xml:space="preserve">a) as instalações e procedimentos exigidos para o NB-2 devem atender às especificações estabelecidas para o NB-1 acrescidas da necessidade de haver uma autoclave disponível em seu interior, de modo a permitir a descontaminação de todo o material antes do descarte, sem </w:t>
      </w:r>
      <w:r w:rsidRPr="005D63F3">
        <w:rPr>
          <w:rFonts w:ascii="OpenSans" w:hAnsi="OpenSans" w:cs="OpenSans"/>
          <w:color w:val="262626"/>
          <w:lang w:val="pt-PT" w:eastAsia="en-US"/>
        </w:rPr>
        <w:lastRenderedPageBreak/>
        <w:t>o trânsito do OGM por corredores e outros espaços não controlados;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b) deve-se sempre utilizar cabines de segurança biológica (Classe I ou II);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c) cabe ao Técnico Principal a responsabilidade de avaliar cada situação e autorizar quem poderá entrar ou trabalhar nas instalações NB-2;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d) deve ser colocado um aviso sinalizando o nível de risco, identificando o OGM e o nome do Técnico Principal, endereço completo e diferentes possibilidades de sua localização ou de outra pessoa responsável e o contato com a CIBio;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e) o Técnico Principal deve estabelecer políticas e procedimentos, provendo ampla informação a todos que trabalhem nas instalações sobre o potencial de risco relacionado às atividades e projetos ali conduzidos, bem como sobre os requisitos específicos para entrada em locais onde haja a presença de animais para inoculação;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f) no interior das instalações, os freqüentadores devem utilizar os equipamentos apropriados de proteção individual tais como jalecos, luvas, gorros, máscaras, óculos, protetores pró-pé, entre outros, os quais devem ser retirados antes da pessoa deixar as instalações credenciadas;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g) após o uso, os equipamentos de proteção individual não descartáveis devem ser limpos e guardados fora da área contaminada e as pessoas devem ser treinadas para seu manuseio e guarda apropriada;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h) todos os requisitos necessários para a entrada nas instalações credenciadas devem estar indicados na porta de entrada;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i) as superfícies de trabalho das cabines de segurança e de outros equipamentos de contenção devem ser descontaminadas sempre ao término das atividades com OGM;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j) para experimento de menor risco realizado concomitantemente no mesmo local, deverá ser adotado o nível NB-2;</w:t>
      </w:r>
    </w:p>
    <w:p w:rsidR="005D63F3" w:rsidRPr="005D63F3" w:rsidRDefault="005D63F3" w:rsidP="005D63F3">
      <w:pPr>
        <w:widowControl w:val="0"/>
        <w:autoSpaceDE w:val="0"/>
        <w:autoSpaceDN w:val="0"/>
        <w:adjustRightInd w:val="0"/>
        <w:spacing w:after="120"/>
        <w:jc w:val="both"/>
        <w:rPr>
          <w:rFonts w:ascii="OpenSans" w:hAnsi="OpenSans" w:cs="OpenSans"/>
          <w:color w:val="262626"/>
          <w:lang w:val="pt-PT" w:eastAsia="en-US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k) quando apropriado, a equipe técnica e de apoio deve estar vacinada contra os agentes infecciosos relacionados aos experimentos conduzidos nas instalações NB-2;</w:t>
      </w:r>
    </w:p>
    <w:p w:rsidR="005D63F3" w:rsidRPr="005D63F3" w:rsidRDefault="005D63F3" w:rsidP="005D63F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000000"/>
          <w:lang w:val="pt-PT"/>
        </w:rPr>
      </w:pPr>
      <w:r w:rsidRPr="005D63F3">
        <w:rPr>
          <w:rFonts w:ascii="OpenSans" w:hAnsi="OpenSans" w:cs="OpenSans"/>
          <w:color w:val="262626"/>
          <w:lang w:val="pt-PT" w:eastAsia="en-US"/>
        </w:rPr>
        <w:t>l) exames médicos periódicos para os trabalhadores das instalações onde são conduzidos atividades e projetos com OGM podem ser solicitados pela CTNBio, incluindo avaliação clínica laboratorial de acordo com o OGM envolvido, levando-se em consideração as medidas de proteção e prevenção cabíveis.</w:t>
      </w:r>
    </w:p>
    <w:p w:rsidR="008D37E1" w:rsidRDefault="00060C29" w:rsidP="008D37E1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8D37E1" w:rsidRDefault="00673701" w:rsidP="008D37E1">
      <w:pPr>
        <w:spacing w:after="120"/>
        <w:jc w:val="both"/>
        <w:rPr>
          <w:rFonts w:ascii="Arial" w:hAnsi="Arial" w:cs="Arial"/>
          <w:color w:val="000000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-1329690</wp:posOffset>
            </wp:positionV>
            <wp:extent cx="6990715" cy="9787255"/>
            <wp:effectExtent l="0" t="0" r="0" b="0"/>
            <wp:wrapNone/>
            <wp:docPr id="2" name="Picture 2" descr="23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18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76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97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8D37E1" w:rsidRDefault="00673701" w:rsidP="008D37E1">
      <w:pPr>
        <w:spacing w:after="120"/>
        <w:jc w:val="both"/>
        <w:rPr>
          <w:rFonts w:ascii="Arial" w:hAnsi="Arial" w:cs="Arial"/>
          <w:color w:val="000000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-1319530</wp:posOffset>
            </wp:positionV>
            <wp:extent cx="7009765" cy="9814560"/>
            <wp:effectExtent l="0" t="0" r="635" b="0"/>
            <wp:wrapNone/>
            <wp:docPr id="3" name="Picture 3" descr="23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7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58000"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8D37E1" w:rsidRDefault="008D37E1" w:rsidP="008D37E1">
      <w:pPr>
        <w:spacing w:after="120"/>
        <w:jc w:val="both"/>
        <w:rPr>
          <w:rFonts w:ascii="Arial" w:hAnsi="Arial" w:cs="Arial"/>
          <w:color w:val="000000"/>
        </w:rPr>
      </w:pPr>
    </w:p>
    <w:p w:rsidR="003E38E0" w:rsidRPr="009A40D7" w:rsidRDefault="003E38E0" w:rsidP="008D37E1">
      <w:pPr>
        <w:spacing w:after="120"/>
        <w:jc w:val="both"/>
        <w:rPr>
          <w:rFonts w:ascii="Verdana" w:hAnsi="Verdana"/>
          <w:sz w:val="20"/>
          <w:szCs w:val="20"/>
        </w:rPr>
      </w:pPr>
    </w:p>
    <w:sectPr w:rsidR="003E38E0" w:rsidRPr="009A40D7" w:rsidSect="00D17785">
      <w:headerReference w:type="default" r:id="rId9"/>
      <w:footerReference w:type="even" r:id="rId10"/>
      <w:footerReference w:type="default" r:id="rId11"/>
      <w:pgSz w:w="11906" w:h="16838" w:code="1"/>
      <w:pgMar w:top="1440" w:right="1080" w:bottom="1440" w:left="108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0BD" w:rsidRDefault="005360BD">
      <w:r>
        <w:separator/>
      </w:r>
    </w:p>
  </w:endnote>
  <w:endnote w:type="continuationSeparator" w:id="0">
    <w:p w:rsidR="005360BD" w:rsidRDefault="0053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7E1" w:rsidRDefault="008D37E1" w:rsidP="00F5706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D37E1" w:rsidRDefault="008D37E1" w:rsidP="00B02AB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7E1" w:rsidRDefault="008D37E1" w:rsidP="00F5706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73701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8D37E1" w:rsidRDefault="008D37E1" w:rsidP="007533FF">
    <w:pPr>
      <w:pStyle w:val="Cabealho"/>
      <w:ind w:right="360"/>
      <w:jc w:val="center"/>
      <w:rPr>
        <w:rFonts w:ascii="Arial" w:hAnsi="Arial"/>
        <w:sz w:val="16"/>
      </w:rPr>
    </w:pPr>
    <w:r w:rsidRPr="00D7137C">
      <w:rPr>
        <w:rFonts w:ascii="Arial" w:hAnsi="Arial"/>
        <w:sz w:val="16"/>
      </w:rPr>
      <w:t>Campus Universitário - Morro do Cruzeiro</w:t>
    </w:r>
    <w:r>
      <w:rPr>
        <w:rFonts w:ascii="Arial" w:hAnsi="Arial"/>
        <w:sz w:val="16"/>
      </w:rPr>
      <w:t xml:space="preserve"> – ICEB-II, Sala 29. </w:t>
    </w:r>
    <w:r>
      <w:rPr>
        <w:rFonts w:ascii="Arial" w:hAnsi="Arial"/>
        <w:sz w:val="16"/>
      </w:rPr>
      <w:tab/>
      <w:t xml:space="preserve">CEP: </w:t>
    </w:r>
    <w:r w:rsidRPr="00D7137C">
      <w:rPr>
        <w:rFonts w:ascii="Arial" w:hAnsi="Arial"/>
        <w:sz w:val="16"/>
      </w:rPr>
      <w:t xml:space="preserve">35400-000 - Ouro Preto - MG </w:t>
    </w:r>
    <w:r>
      <w:rPr>
        <w:rFonts w:ascii="Arial" w:hAnsi="Arial"/>
        <w:sz w:val="16"/>
      </w:rPr>
      <w:t>–</w:t>
    </w:r>
    <w:r w:rsidRPr="00D7137C">
      <w:rPr>
        <w:rFonts w:ascii="Arial" w:hAnsi="Arial"/>
        <w:sz w:val="16"/>
      </w:rPr>
      <w:t xml:space="preserve"> Brasil</w:t>
    </w:r>
    <w:r>
      <w:rPr>
        <w:rFonts w:ascii="Arial" w:hAnsi="Arial"/>
        <w:sz w:val="16"/>
      </w:rPr>
      <w:t>.</w:t>
    </w:r>
  </w:p>
  <w:p w:rsidR="008D37E1" w:rsidRDefault="008D37E1" w:rsidP="007533FF">
    <w:pPr>
      <w:pStyle w:val="Cabealho"/>
      <w:ind w:right="360"/>
      <w:jc w:val="center"/>
      <w:rPr>
        <w:rFonts w:ascii="Arial" w:hAnsi="Arial"/>
        <w:sz w:val="16"/>
      </w:rPr>
    </w:pPr>
    <w:r w:rsidRPr="00D7137C">
      <w:rPr>
        <w:rFonts w:ascii="Arial" w:hAnsi="Arial"/>
        <w:sz w:val="16"/>
      </w:rPr>
      <w:t xml:space="preserve">Fone (31) 3559 </w:t>
    </w:r>
    <w:r>
      <w:rPr>
        <w:rFonts w:ascii="Arial" w:hAnsi="Arial"/>
        <w:sz w:val="16"/>
      </w:rPr>
      <w:t>-</w:t>
    </w:r>
    <w:proofErr w:type="gramStart"/>
    <w:r w:rsidRPr="00D7137C">
      <w:rPr>
        <w:rFonts w:ascii="Arial" w:hAnsi="Arial"/>
        <w:sz w:val="16"/>
      </w:rPr>
      <w:t>1368  Fax</w:t>
    </w:r>
    <w:proofErr w:type="gramEnd"/>
    <w:r w:rsidRPr="00D7137C">
      <w:rPr>
        <w:rFonts w:ascii="Arial" w:hAnsi="Arial"/>
        <w:sz w:val="16"/>
      </w:rPr>
      <w:t>: (31) 3559-1370</w:t>
    </w:r>
    <w:r>
      <w:rPr>
        <w:rFonts w:ascii="Arial" w:hAnsi="Arial"/>
        <w:sz w:val="16"/>
      </w:rPr>
      <w:t>. E-mail: cibio@</w:t>
    </w:r>
    <w:r w:rsidRPr="00CC4D95">
      <w:rPr>
        <w:rFonts w:ascii="Arial" w:hAnsi="Arial"/>
        <w:sz w:val="16"/>
      </w:rPr>
      <w:t>propp.</w:t>
    </w:r>
    <w:r>
      <w:rPr>
        <w:rFonts w:ascii="Arial" w:hAnsi="Arial"/>
        <w:sz w:val="16"/>
      </w:rPr>
      <w:t>ufop.br</w:t>
    </w:r>
  </w:p>
  <w:p w:rsidR="008D37E1" w:rsidRDefault="008D37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0BD" w:rsidRDefault="005360BD">
      <w:r>
        <w:separator/>
      </w:r>
    </w:p>
  </w:footnote>
  <w:footnote w:type="continuationSeparator" w:id="0">
    <w:p w:rsidR="005360BD" w:rsidRDefault="00536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7E1" w:rsidRDefault="005360BD">
    <w:r>
      <w:rPr>
        <w:noProof/>
        <w:sz w:val="16"/>
        <w:lang w:val="en-US"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61.75pt;margin-top:2.9pt;width:31.8pt;height:72.45pt;z-index:251657728;visibility:visible;mso-wrap-edited:f">
          <v:imagedata r:id="rId1" o:title=""/>
        </v:shape>
        <o:OLEObject Type="Embed" ProgID="Word.Picture.8" ShapeID="_x0000_s2050" DrawAspect="Content" ObjectID="_1643459007" r:id="rId2"/>
      </w:object>
    </w:r>
  </w:p>
  <w:tbl>
    <w:tblPr>
      <w:tblW w:w="0" w:type="auto"/>
      <w:tblBorders>
        <w:bottom w:val="single" w:sz="12" w:space="0" w:color="auto"/>
      </w:tblBorders>
      <w:tblLook w:val="01E0" w:firstRow="1" w:lastRow="1" w:firstColumn="1" w:lastColumn="1" w:noHBand="0" w:noVBand="0"/>
    </w:tblPr>
    <w:tblGrid>
      <w:gridCol w:w="1384"/>
      <w:gridCol w:w="7569"/>
      <w:gridCol w:w="1009"/>
    </w:tblGrid>
    <w:tr w:rsidR="008D37E1" w:rsidRPr="00D17785">
      <w:tc>
        <w:tcPr>
          <w:tcW w:w="1384" w:type="dxa"/>
          <w:tcBorders>
            <w:bottom w:val="nil"/>
          </w:tcBorders>
        </w:tcPr>
        <w:p w:rsidR="008D37E1" w:rsidRPr="00D17785" w:rsidRDefault="00673701">
          <w:pPr>
            <w:pStyle w:val="Cabealho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val="en-US" w:eastAsia="en-US"/>
            </w:rPr>
            <w:drawing>
              <wp:inline distT="0" distB="0" distL="0" distR="0">
                <wp:extent cx="736600" cy="736600"/>
                <wp:effectExtent l="0" t="0" r="0" b="0"/>
                <wp:docPr id="1" name="Picture 1" descr="Unknow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know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</w:tcPr>
        <w:p w:rsidR="008D37E1" w:rsidRPr="00D17785" w:rsidRDefault="008D37E1" w:rsidP="003D5E37">
          <w:pPr>
            <w:pStyle w:val="Cabealho"/>
            <w:jc w:val="center"/>
            <w:rPr>
              <w:rFonts w:ascii="Arial" w:hAnsi="Arial" w:cs="Arial"/>
              <w:b/>
              <w:spacing w:val="20"/>
              <w:sz w:val="28"/>
              <w:szCs w:val="18"/>
            </w:rPr>
          </w:pPr>
          <w:r w:rsidRPr="00D17785">
            <w:rPr>
              <w:rFonts w:ascii="Arial" w:hAnsi="Arial" w:cs="Arial"/>
              <w:b/>
              <w:spacing w:val="20"/>
              <w:sz w:val="28"/>
              <w:szCs w:val="18"/>
            </w:rPr>
            <w:t>UNIVERSIDADE FEDERAL DE OURO PRETO</w:t>
          </w:r>
          <w:r w:rsidRPr="00D17785">
            <w:rPr>
              <w:rFonts w:ascii="Arial" w:hAnsi="Arial" w:cs="Arial"/>
              <w:b/>
              <w:spacing w:val="20"/>
              <w:sz w:val="28"/>
              <w:szCs w:val="18"/>
            </w:rPr>
            <w:br/>
          </w:r>
        </w:p>
        <w:p w:rsidR="008D37E1" w:rsidRPr="00D17785" w:rsidRDefault="008D37E1" w:rsidP="003D5E37">
          <w:pPr>
            <w:pStyle w:val="Cabealho"/>
            <w:jc w:val="center"/>
            <w:rPr>
              <w:rFonts w:ascii="Arial" w:hAnsi="Arial" w:cs="Arial"/>
              <w:b/>
              <w:spacing w:val="20"/>
              <w:sz w:val="22"/>
              <w:szCs w:val="18"/>
            </w:rPr>
          </w:pPr>
          <w:r w:rsidRPr="00D17785">
            <w:rPr>
              <w:rFonts w:ascii="Arial" w:hAnsi="Arial" w:cs="Arial"/>
              <w:b/>
              <w:spacing w:val="20"/>
              <w:sz w:val="22"/>
              <w:szCs w:val="18"/>
            </w:rPr>
            <w:t>COMISSÃO INTERNA DE BIOSSEGURANÇA (</w:t>
          </w:r>
          <w:proofErr w:type="spellStart"/>
          <w:r w:rsidRPr="00D17785">
            <w:rPr>
              <w:rFonts w:ascii="Arial" w:hAnsi="Arial" w:cs="Arial"/>
              <w:b/>
              <w:spacing w:val="20"/>
              <w:sz w:val="22"/>
              <w:szCs w:val="18"/>
            </w:rPr>
            <w:t>CIBio</w:t>
          </w:r>
          <w:proofErr w:type="spellEnd"/>
          <w:r w:rsidRPr="00D17785">
            <w:rPr>
              <w:rFonts w:ascii="Arial" w:hAnsi="Arial" w:cs="Arial"/>
              <w:b/>
              <w:spacing w:val="20"/>
              <w:sz w:val="22"/>
              <w:szCs w:val="18"/>
            </w:rPr>
            <w:t>)</w:t>
          </w:r>
        </w:p>
        <w:p w:rsidR="008D37E1" w:rsidRPr="00D17785" w:rsidRDefault="008D37E1" w:rsidP="003D5E37">
          <w:pPr>
            <w:pStyle w:val="Cabealho"/>
            <w:jc w:val="center"/>
            <w:rPr>
              <w:rFonts w:ascii="Arial" w:hAnsi="Arial" w:cs="Arial"/>
              <w:sz w:val="2"/>
            </w:rPr>
          </w:pPr>
        </w:p>
        <w:p w:rsidR="008D37E1" w:rsidRPr="00D17785" w:rsidRDefault="008D37E1" w:rsidP="003D5E37">
          <w:pPr>
            <w:pStyle w:val="Cabealho"/>
            <w:jc w:val="center"/>
            <w:rPr>
              <w:rFonts w:ascii="Arial" w:hAnsi="Arial" w:cs="Arial"/>
              <w:sz w:val="16"/>
            </w:rPr>
          </w:pPr>
        </w:p>
        <w:p w:rsidR="008D37E1" w:rsidRPr="00D17785" w:rsidRDefault="008D37E1" w:rsidP="003D5E37">
          <w:pPr>
            <w:pStyle w:val="Cabealho"/>
            <w:jc w:val="center"/>
            <w:rPr>
              <w:rFonts w:ascii="Arial" w:hAnsi="Arial" w:cs="Arial"/>
              <w:sz w:val="2"/>
            </w:rPr>
          </w:pPr>
        </w:p>
        <w:p w:rsidR="008D37E1" w:rsidRPr="00D17785" w:rsidRDefault="008D37E1" w:rsidP="003D5E37">
          <w:pPr>
            <w:pStyle w:val="Cabealho"/>
            <w:jc w:val="center"/>
            <w:rPr>
              <w:rFonts w:ascii="Arial" w:hAnsi="Arial" w:cs="Arial"/>
              <w:sz w:val="16"/>
            </w:rPr>
          </w:pPr>
          <w:r w:rsidRPr="00D17785">
            <w:rPr>
              <w:rFonts w:ascii="Arial" w:hAnsi="Arial" w:cs="Arial"/>
              <w:sz w:val="2"/>
            </w:rPr>
            <w:t>[</w:t>
          </w:r>
        </w:p>
      </w:tc>
      <w:tc>
        <w:tcPr>
          <w:tcW w:w="1023" w:type="dxa"/>
          <w:tcBorders>
            <w:bottom w:val="nil"/>
          </w:tcBorders>
        </w:tcPr>
        <w:p w:rsidR="008D37E1" w:rsidRPr="00D17785" w:rsidRDefault="008D37E1">
          <w:pPr>
            <w:pStyle w:val="Cabealho"/>
            <w:rPr>
              <w:rFonts w:ascii="Arial" w:hAnsi="Arial" w:cs="Arial"/>
            </w:rPr>
          </w:pPr>
        </w:p>
      </w:tc>
    </w:tr>
  </w:tbl>
  <w:p w:rsidR="008D37E1" w:rsidRPr="00D17785" w:rsidRDefault="008D37E1">
    <w:pPr>
      <w:pStyle w:val="Cabealh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451E"/>
    <w:multiLevelType w:val="hybridMultilevel"/>
    <w:tmpl w:val="C232936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C0EFD"/>
    <w:multiLevelType w:val="hybridMultilevel"/>
    <w:tmpl w:val="76DE969C"/>
    <w:lvl w:ilvl="0" w:tplc="FFFFFFFF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EF726D8"/>
    <w:multiLevelType w:val="hybridMultilevel"/>
    <w:tmpl w:val="26FE2E7E"/>
    <w:lvl w:ilvl="0" w:tplc="FFFFFFFF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1FCF75D2"/>
    <w:multiLevelType w:val="hybridMultilevel"/>
    <w:tmpl w:val="770454E2"/>
    <w:lvl w:ilvl="0" w:tplc="652A921C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 w15:restartNumberingAfterBreak="0">
    <w:nsid w:val="40FC367D"/>
    <w:multiLevelType w:val="hybridMultilevel"/>
    <w:tmpl w:val="37563D80"/>
    <w:lvl w:ilvl="0" w:tplc="652A921C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 w15:restartNumberingAfterBreak="0">
    <w:nsid w:val="441F186C"/>
    <w:multiLevelType w:val="hybridMultilevel"/>
    <w:tmpl w:val="B1E67954"/>
    <w:lvl w:ilvl="0" w:tplc="4F94348E">
      <w:numFmt w:val="bullet"/>
      <w:lvlText w:val="-"/>
      <w:lvlJc w:val="left"/>
      <w:pPr>
        <w:ind w:left="900" w:hanging="90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0B4D6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62C31B5A"/>
    <w:multiLevelType w:val="hybridMultilevel"/>
    <w:tmpl w:val="0E2C22EE"/>
    <w:lvl w:ilvl="0" w:tplc="652A9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683F0193"/>
    <w:multiLevelType w:val="hybridMultilevel"/>
    <w:tmpl w:val="18D047D4"/>
    <w:lvl w:ilvl="0" w:tplc="652A921C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 w15:restartNumberingAfterBreak="0">
    <w:nsid w:val="7A6B3492"/>
    <w:multiLevelType w:val="hybridMultilevel"/>
    <w:tmpl w:val="128274BA"/>
    <w:lvl w:ilvl="0" w:tplc="4F94348E">
      <w:numFmt w:val="bullet"/>
      <w:lvlText w:val="-"/>
      <w:lvlJc w:val="left"/>
      <w:pPr>
        <w:ind w:left="900" w:hanging="90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E706B3"/>
    <w:multiLevelType w:val="hybridMultilevel"/>
    <w:tmpl w:val="8766F8FA"/>
    <w:lvl w:ilvl="0" w:tplc="652A921C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10"/>
  </w:num>
  <w:num w:numId="8">
    <w:abstractNumId w:val="3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0D3"/>
    <w:rsid w:val="0005216D"/>
    <w:rsid w:val="00056E60"/>
    <w:rsid w:val="00060C29"/>
    <w:rsid w:val="00064F08"/>
    <w:rsid w:val="00073D59"/>
    <w:rsid w:val="00093F10"/>
    <w:rsid w:val="000A4FBF"/>
    <w:rsid w:val="000A53FB"/>
    <w:rsid w:val="000C6784"/>
    <w:rsid w:val="000E5F1F"/>
    <w:rsid w:val="000E6E29"/>
    <w:rsid w:val="00101319"/>
    <w:rsid w:val="00114543"/>
    <w:rsid w:val="00134089"/>
    <w:rsid w:val="0015773F"/>
    <w:rsid w:val="0017264C"/>
    <w:rsid w:val="001A605C"/>
    <w:rsid w:val="001C6EFD"/>
    <w:rsid w:val="002A5FF5"/>
    <w:rsid w:val="002C7504"/>
    <w:rsid w:val="0031729D"/>
    <w:rsid w:val="0032476B"/>
    <w:rsid w:val="00331DE4"/>
    <w:rsid w:val="00343A99"/>
    <w:rsid w:val="0037253D"/>
    <w:rsid w:val="003962BB"/>
    <w:rsid w:val="003C47C7"/>
    <w:rsid w:val="003D5E37"/>
    <w:rsid w:val="003E38E0"/>
    <w:rsid w:val="00407E28"/>
    <w:rsid w:val="0042550C"/>
    <w:rsid w:val="00432872"/>
    <w:rsid w:val="00433D8F"/>
    <w:rsid w:val="00446858"/>
    <w:rsid w:val="00485CE2"/>
    <w:rsid w:val="004A3828"/>
    <w:rsid w:val="004B036A"/>
    <w:rsid w:val="004C6EA7"/>
    <w:rsid w:val="004F193E"/>
    <w:rsid w:val="0050397C"/>
    <w:rsid w:val="00523F11"/>
    <w:rsid w:val="005360BD"/>
    <w:rsid w:val="00562AD4"/>
    <w:rsid w:val="0056542E"/>
    <w:rsid w:val="00572A75"/>
    <w:rsid w:val="00575C08"/>
    <w:rsid w:val="005B0252"/>
    <w:rsid w:val="005D63F3"/>
    <w:rsid w:val="006079C9"/>
    <w:rsid w:val="00664710"/>
    <w:rsid w:val="00665B06"/>
    <w:rsid w:val="00673701"/>
    <w:rsid w:val="00685E43"/>
    <w:rsid w:val="00686CFD"/>
    <w:rsid w:val="006E5AC0"/>
    <w:rsid w:val="007005E8"/>
    <w:rsid w:val="007533FF"/>
    <w:rsid w:val="00771533"/>
    <w:rsid w:val="007A4EE8"/>
    <w:rsid w:val="007B767D"/>
    <w:rsid w:val="00807E5C"/>
    <w:rsid w:val="008243A8"/>
    <w:rsid w:val="00827340"/>
    <w:rsid w:val="0084727D"/>
    <w:rsid w:val="008B02D6"/>
    <w:rsid w:val="008B2A58"/>
    <w:rsid w:val="008D37E1"/>
    <w:rsid w:val="00981C2E"/>
    <w:rsid w:val="009A40D7"/>
    <w:rsid w:val="009B3ABA"/>
    <w:rsid w:val="00A0334B"/>
    <w:rsid w:val="00A34A56"/>
    <w:rsid w:val="00A46F18"/>
    <w:rsid w:val="00A57AB8"/>
    <w:rsid w:val="00A61B6A"/>
    <w:rsid w:val="00A67681"/>
    <w:rsid w:val="00A92FF6"/>
    <w:rsid w:val="00AA720C"/>
    <w:rsid w:val="00AC798C"/>
    <w:rsid w:val="00AD4ADB"/>
    <w:rsid w:val="00AF38AC"/>
    <w:rsid w:val="00B02AB5"/>
    <w:rsid w:val="00B621F7"/>
    <w:rsid w:val="00B62703"/>
    <w:rsid w:val="00BA61B4"/>
    <w:rsid w:val="00BB19ED"/>
    <w:rsid w:val="00BC08A6"/>
    <w:rsid w:val="00BD14AA"/>
    <w:rsid w:val="00C230D3"/>
    <w:rsid w:val="00C455EE"/>
    <w:rsid w:val="00CA174B"/>
    <w:rsid w:val="00CF6064"/>
    <w:rsid w:val="00D17785"/>
    <w:rsid w:val="00D7137C"/>
    <w:rsid w:val="00D93199"/>
    <w:rsid w:val="00DA2591"/>
    <w:rsid w:val="00DB2736"/>
    <w:rsid w:val="00DB764C"/>
    <w:rsid w:val="00E54103"/>
    <w:rsid w:val="00E64FF5"/>
    <w:rsid w:val="00E831A5"/>
    <w:rsid w:val="00EA50C2"/>
    <w:rsid w:val="00F22207"/>
    <w:rsid w:val="00F2796C"/>
    <w:rsid w:val="00F348DF"/>
    <w:rsid w:val="00F55058"/>
    <w:rsid w:val="00F57064"/>
    <w:rsid w:val="00F72E5A"/>
    <w:rsid w:val="00FB147D"/>
    <w:rsid w:val="00FD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300"/>
  <w15:docId w15:val="{0B837366-11F7-43B3-A205-3E70884F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30D3"/>
    <w:rPr>
      <w:sz w:val="24"/>
      <w:szCs w:val="24"/>
      <w:lang w:eastAsia="pt-BR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suppressLineNumbers/>
      <w:ind w:right="-143"/>
      <w:jc w:val="center"/>
      <w:outlineLvl w:val="2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qFormat/>
    <w:rsid w:val="00DA259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linha">
    <w:name w:val="line number"/>
    <w:basedOn w:val="Fontepargpadro"/>
  </w:style>
  <w:style w:type="paragraph" w:styleId="Ttulo">
    <w:name w:val="Title"/>
    <w:basedOn w:val="Normal"/>
    <w:qFormat/>
    <w:pPr>
      <w:jc w:val="center"/>
    </w:pPr>
    <w:rPr>
      <w:rFonts w:ascii="Arial" w:hAnsi="Arial"/>
      <w:b/>
    </w:rPr>
  </w:style>
  <w:style w:type="paragraph" w:styleId="Corpodetexto">
    <w:name w:val="Body Text"/>
    <w:basedOn w:val="Normal"/>
    <w:pPr>
      <w:jc w:val="both"/>
    </w:pPr>
    <w:rPr>
      <w:rFonts w:ascii="Arial" w:hAnsi="Arial"/>
      <w:sz w:val="22"/>
    </w:rPr>
  </w:style>
  <w:style w:type="paragraph" w:styleId="Recuodecorpodetexto">
    <w:name w:val="Body Text Indent"/>
    <w:basedOn w:val="Normal"/>
    <w:pPr>
      <w:ind w:left="708"/>
      <w:jc w:val="both"/>
    </w:pPr>
    <w:rPr>
      <w:b/>
      <w:sz w:val="22"/>
    </w:rPr>
  </w:style>
  <w:style w:type="table" w:styleId="Tabelacomgrade">
    <w:name w:val="Table Grid"/>
    <w:basedOn w:val="Tabelanormal"/>
    <w:rsid w:val="00F22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rsid w:val="00AA720C"/>
    <w:pPr>
      <w:spacing w:after="120" w:line="480" w:lineRule="auto"/>
    </w:pPr>
  </w:style>
  <w:style w:type="character" w:styleId="Hyperlink">
    <w:name w:val="Hyperlink"/>
    <w:rsid w:val="00093F10"/>
    <w:rPr>
      <w:color w:val="0000FF"/>
      <w:u w:val="single"/>
    </w:rPr>
  </w:style>
  <w:style w:type="paragraph" w:styleId="Corpodetexto3">
    <w:name w:val="Body Text 3"/>
    <w:basedOn w:val="Normal"/>
    <w:link w:val="Corpodetexto3Char"/>
    <w:semiHidden/>
    <w:unhideWhenUsed/>
    <w:rsid w:val="00A34A5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semiHidden/>
    <w:rsid w:val="00A34A56"/>
    <w:rPr>
      <w:sz w:val="16"/>
      <w:szCs w:val="16"/>
      <w:lang w:val="pt-BR" w:eastAsia="pt-BR" w:bidi="ar-SA"/>
    </w:rPr>
  </w:style>
  <w:style w:type="paragraph" w:styleId="Recuodecorpodetexto2">
    <w:name w:val="Body Text Indent 2"/>
    <w:basedOn w:val="Normal"/>
    <w:rsid w:val="00DA2591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styleId="Nmerodepgina">
    <w:name w:val="page number"/>
    <w:basedOn w:val="Fontepargpadro"/>
    <w:rsid w:val="00B02AB5"/>
  </w:style>
  <w:style w:type="character" w:customStyle="1" w:styleId="CabealhoChar">
    <w:name w:val="Cabeçalho Char"/>
    <w:link w:val="Cabealho"/>
    <w:rsid w:val="007533FF"/>
    <w:rPr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esktop\Comit&#234;%20de%20&#201;tica\TIMBRE%20CEP\Timbre\Papel%20Timbrado%20CE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CEP</Template>
  <TotalTime>1</TotalTime>
  <Pages>5</Pages>
  <Words>1204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OFÍCIO CEP Nº 012/2004</vt:lpstr>
    </vt:vector>
  </TitlesOfParts>
  <Company>Denut-UFOP</Company>
  <LinksUpToDate>false</LinksUpToDate>
  <CharactersWithSpaces>7695</CharactersWithSpaces>
  <SharedDoc>false</SharedDoc>
  <HLinks>
    <vt:vector size="18" baseType="variant">
      <vt:variant>
        <vt:i4>7798815</vt:i4>
      </vt:variant>
      <vt:variant>
        <vt:i4>9772</vt:i4>
      </vt:variant>
      <vt:variant>
        <vt:i4>1025</vt:i4>
      </vt:variant>
      <vt:variant>
        <vt:i4>1</vt:i4>
      </vt:variant>
      <vt:variant>
        <vt:lpwstr>Unknown</vt:lpwstr>
      </vt:variant>
      <vt:variant>
        <vt:lpwstr/>
      </vt:variant>
      <vt:variant>
        <vt:i4>3670065</vt:i4>
      </vt:variant>
      <vt:variant>
        <vt:i4>-1</vt:i4>
      </vt:variant>
      <vt:variant>
        <vt:i4>1026</vt:i4>
      </vt:variant>
      <vt:variant>
        <vt:i4>1</vt:i4>
      </vt:variant>
      <vt:variant>
        <vt:lpwstr>231823</vt:lpwstr>
      </vt:variant>
      <vt:variant>
        <vt:lpwstr/>
      </vt:variant>
      <vt:variant>
        <vt:i4>3276848</vt:i4>
      </vt:variant>
      <vt:variant>
        <vt:i4>-1</vt:i4>
      </vt:variant>
      <vt:variant>
        <vt:i4>1027</vt:i4>
      </vt:variant>
      <vt:variant>
        <vt:i4>1</vt:i4>
      </vt:variant>
      <vt:variant>
        <vt:lpwstr>231736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CEP Nº 012/2004</dc:title>
  <dc:subject/>
  <dc:creator>ufop</dc:creator>
  <cp:keywords/>
  <cp:lastModifiedBy>Usuario</cp:lastModifiedBy>
  <cp:revision>2</cp:revision>
  <cp:lastPrinted>2008-09-22T14:55:00Z</cp:lastPrinted>
  <dcterms:created xsi:type="dcterms:W3CDTF">2020-02-17T18:37:00Z</dcterms:created>
  <dcterms:modified xsi:type="dcterms:W3CDTF">2020-02-17T18:37:00Z</dcterms:modified>
</cp:coreProperties>
</file>